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keepNext w:val="true"/>
        <w:pBdr/>
        <w:spacing w:after="0" w:line="360" w:lineRule="auto"/>
        <w:ind w:right="-28"/>
        <w:jc w:val="center"/>
        <w:rPr>
          <w:rFonts w:eastAsia="Times New Roman"/>
          <w:b/>
          <w:spacing w:val="20"/>
          <w:sz w:val="24"/>
          <w:szCs w:val="20"/>
          <w:lang w:eastAsia="ru-RU"/>
        </w:rPr>
      </w:pPr>
      <w:r>
        <w:rPr>
          <w:rFonts w:eastAsia="Times New Roman"/>
          <w:b/>
          <w:spacing w:val="20"/>
          <w:sz w:val="32"/>
          <w:szCs w:val="20"/>
          <w:lang w:eastAsia="ru-RU"/>
        </w:rPr>
        <w:t xml:space="preserve">ПРОТОКОЛ</w:t>
      </w:r>
      <w:r>
        <w:rPr>
          <w:rFonts w:eastAsia="Times New Roman"/>
          <w:b/>
          <w:spacing w:val="20"/>
          <w:sz w:val="24"/>
          <w:szCs w:val="20"/>
          <w:lang w:eastAsia="ru-RU"/>
        </w:rPr>
      </w:r>
    </w:p>
    <w:p>
      <w:pPr>
        <w:pBdr/>
        <w:spacing w:after="0" w:line="240" w:lineRule="auto"/>
        <w:ind w:right="-1"/>
        <w:jc w:val="center"/>
        <w:rPr>
          <w:rFonts w:eastAsia="Times New Roman"/>
          <w:sz w:val="24"/>
          <w:szCs w:val="20"/>
          <w:lang w:eastAsia="ru-RU"/>
        </w:rPr>
      </w:pPr>
      <w:r>
        <w:rPr>
          <w:sz w:val="28"/>
          <w:szCs w:val="28"/>
        </w:rPr>
        <w:t xml:space="preserve">подведения итогов определения поставщика (подрядчика, исполнителя)</w:t>
      </w:r>
      <w:r>
        <w:rPr>
          <w:rFonts w:eastAsia="Times New Roman"/>
          <w:sz w:val="24"/>
          <w:szCs w:val="20"/>
          <w:lang w:eastAsia="ru-RU"/>
        </w:rPr>
        <w:t xml:space="preserve"> </w:t>
      </w:r>
      <w:r>
        <w:rPr>
          <w:rFonts w:eastAsia="Times New Roman"/>
          <w:sz w:val="24"/>
          <w:szCs w:val="20"/>
          <w:lang w:eastAsia="ru-RU"/>
        </w:rPr>
        <w:t xml:space="preserve">(0832200006624000863)</w:t>
      </w:r>
      <w:r>
        <w:rPr>
          <w:rFonts w:eastAsia="Times New Roman"/>
          <w:sz w:val="24"/>
          <w:szCs w:val="20"/>
          <w:lang w:eastAsia="ru-RU"/>
        </w:rPr>
      </w:r>
    </w:p>
    <w:p>
      <w:pPr>
        <w:pBdr/>
        <w:spacing w:after="0" w:line="240" w:lineRule="auto"/>
        <w:ind w:right="5243" w:left="3828"/>
        <w:rPr>
          <w:rFonts w:eastAsia="Times New Roman"/>
          <w:sz w:val="24"/>
          <w:szCs w:val="20"/>
          <w:lang w:eastAsia="ru-RU"/>
        </w:rPr>
      </w:pP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tbl>
      <w:tblPr>
        <w:tblW w:w="10602" w:type="dxa"/>
        <w:tblInd w:w="-5" w:type="dxa"/>
        <w:tblBorders/>
        <w:tblLook w:val="04A0" w:firstRow="1" w:lastRow="0" w:firstColumn="1" w:lastColumn="0" w:noHBand="0" w:noVBand="1"/>
      </w:tblPr>
      <w:tblGrid>
        <w:gridCol w:w="2835"/>
        <w:gridCol w:w="4395"/>
        <w:gridCol w:w="3372"/>
      </w:tblGrid>
      <w:tr>
        <w:trPr/>
        <w:tc>
          <w:tcPr>
            <w:tcBorders/>
            <w:tcW w:w="2835" w:type="dxa"/>
            <w:vAlign w:val="bottom"/>
            <w:textDirection w:val="lrTb"/>
            <w:noWrap w:val="false"/>
          </w:tcPr>
          <w:p>
            <w:pPr>
              <w:pStyle w:val="846"/>
              <w:pBdr/>
              <w:tabs>
                <w:tab w:val="left" w:leader="none" w:pos="567"/>
              </w:tabs>
              <w:spacing w:after="0" w:line="240" w:lineRule="auto"/>
              <w:ind w:left="0"/>
              <w:rPr>
                <w:rFonts w:cs="Times New Roman"/>
                <w:bCs/>
              </w:rPr>
            </w:pPr>
            <w:r>
              <w:rPr>
                <w:rFonts w:cs="Times New Roman"/>
                <w:lang w:eastAsia="ru-RU"/>
              </w:rPr>
              <w:t xml:space="preserve">31.07.2024</w:t>
            </w:r>
            <w:r>
              <w:rPr>
                <w:rFonts w:cs="Times New Roman"/>
                <w:bCs/>
              </w:rPr>
            </w:r>
          </w:p>
        </w:tc>
        <w:tc>
          <w:tcPr>
            <w:tcBorders/>
            <w:tcW w:w="4395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3372" w:type="dxa"/>
            <w:textDirection w:val="lrTb"/>
            <w:noWrap w:val="false"/>
          </w:tcPr>
          <w:p>
            <w:pPr>
              <w:pStyle w:val="846"/>
              <w:pBdr/>
              <w:tabs>
                <w:tab w:val="left" w:leader="none" w:pos="567"/>
              </w:tabs>
              <w:spacing w:after="60" w:before="60" w:line="240" w:lineRule="auto"/>
              <w:ind w:left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№ </w:t>
            </w:r>
            <w:r>
              <w:rPr>
                <w:rFonts w:cs="Times New Roman"/>
                <w:lang w:eastAsia="ru-RU"/>
              </w:rPr>
              <w:t xml:space="preserve">0832200006624000863-2-1</w:t>
            </w:r>
            <w:r>
              <w:rPr>
                <w:rFonts w:cs="Times New Roman"/>
                <w:bCs/>
              </w:rPr>
            </w:r>
          </w:p>
        </w:tc>
      </w:tr>
      <w:tr>
        <w:trPr/>
        <w:tc>
          <w:tcPr>
            <w:tcBorders/>
            <w:tcW w:w="2835" w:type="dxa"/>
            <w:vAlign w:val="bottom"/>
            <w:textDirection w:val="lrTb"/>
            <w:noWrap w:val="false"/>
          </w:tcPr>
          <w:p>
            <w:pPr>
              <w:pStyle w:val="846"/>
              <w:pBdr/>
              <w:tabs>
                <w:tab w:val="left" w:leader="none" w:pos="567"/>
              </w:tabs>
              <w:spacing w:after="0" w:line="240" w:lineRule="auto"/>
              <w:ind w:left="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  <w:r>
              <w:rPr>
                <w:rFonts w:cs="Times New Roman"/>
                <w:bCs/>
              </w:rPr>
            </w:r>
          </w:p>
        </w:tc>
        <w:tc>
          <w:tcPr>
            <w:tcBorders/>
            <w:tcW w:w="4395" w:type="dxa"/>
            <w:vAlign w:val="bottom"/>
            <w:textDirection w:val="lrTb"/>
            <w:noWrap w:val="false"/>
          </w:tcPr>
          <w:p>
            <w:pPr>
              <w:pBdr/>
              <w:spacing w:after="0" w:line="254" w:lineRule="auto"/>
              <w:ind/>
              <w:jc w:val="center"/>
              <w:rPr>
                <w:bCs/>
              </w:rPr>
            </w:pPr>
            <w:r>
              <w:rPr>
                <w:rFonts w:eastAsia="Times New Roman"/>
                <w:lang w:eastAsia="ru-RU"/>
              </w:rPr>
              <w:t xml:space="preserve">   Нижегородская обл, Нижний Новгород г</w:t>
            </w:r>
            <w:r>
              <w:rPr>
                <w:bCs/>
              </w:rPr>
            </w:r>
          </w:p>
        </w:tc>
        <w:tc>
          <w:tcPr>
            <w:tcBorders/>
            <w:tcW w:w="3372" w:type="dxa"/>
            <w:textDirection w:val="lrTb"/>
            <w:noWrap w:val="false"/>
          </w:tcPr>
          <w:p>
            <w:pPr>
              <w:pStyle w:val="846"/>
              <w:pBdr/>
              <w:tabs>
                <w:tab w:val="left" w:leader="none" w:pos="567"/>
              </w:tabs>
              <w:spacing w:after="60" w:before="60" w:line="240" w:lineRule="auto"/>
              <w:ind w:left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</w:r>
            <w:r>
              <w:rPr>
                <w:rFonts w:cs="Times New Roman"/>
                <w:bCs/>
              </w:rPr>
            </w:r>
          </w:p>
        </w:tc>
      </w:tr>
    </w:tbl>
    <w:p>
      <w:pPr>
        <w:pStyle w:val="846"/>
        <w:pBdr/>
        <w:tabs>
          <w:tab w:val="left" w:leader="none" w:pos="567"/>
        </w:tabs>
        <w:spacing w:after="60" w:before="60" w:line="240" w:lineRule="auto"/>
        <w:ind w:left="360"/>
        <w:jc w:val="center"/>
        <w:rPr>
          <w:rFonts w:cs="Times New Roman"/>
          <w:bCs/>
        </w:rPr>
      </w:pPr>
      <w:r>
        <w:rPr>
          <w:rFonts w:cs="Times New Roman"/>
          <w:bCs/>
        </w:rPr>
      </w:r>
      <w:r>
        <w:rPr>
          <w:rFonts w:cs="Times New Roman"/>
          <w:bCs/>
        </w:rPr>
      </w:r>
    </w:p>
    <w:p>
      <w:pPr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Организатор: Уполномоченное учреждение. ГОСУДАРСТВЕННОЕ КАЗЕННОЕ УЧРЕЖДЕНИЕ НИЖЕГОРОДСКОЙ ОБЛАСТИ "ЦЕНТР РАЗМЕЩЕНИЯ ЗАКАЗА НИЖЕГОРОДСКОЙ ОБЛАСТИ"</w:t>
      </w:r>
      <w:r>
        <w:rPr>
          <w:rFonts w:eastAsia="Times New Roman"/>
          <w:lang w:eastAsia="ru-RU"/>
        </w:rPr>
        <w:t xml:space="preserve">.</w:t>
      </w:r>
      <w:r>
        <w:rPr>
          <w:rFonts w:eastAsia="Times New Roman"/>
          <w:lang w:eastAsia="ru-RU"/>
        </w:rPr>
      </w:r>
    </w:p>
    <w:p>
      <w:pPr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Заказчик(и): </w:t>
      </w:r>
      <w:r>
        <w:rPr>
          <w:rFonts w:eastAsia="Times New Roman"/>
          <w:lang w:eastAsia="ru-RU"/>
        </w:rPr>
      </w:r>
    </w:p>
    <w:tbl>
      <w:tblPr>
        <w:tblStyle w:val="847"/>
        <w:tblW w:w="10206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>
        <w:trPr/>
        <w:tc>
          <w:tcPr>
            <w:tcBorders/>
            <w:tcW w:w="10206" w:type="dxa"/>
            <w:textDirection w:val="lrTb"/>
            <w:noWrap w:val="false"/>
          </w:tcPr>
          <w:p>
            <w:pPr>
              <w:widowControl w:val="false"/>
              <w:pBdr/>
              <w:spacing w:before="60"/>
              <w:ind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ГОСУДАРСТВЕННОЕ БЮДЖЕТНОЕ УЧРЕЖДЕНИЕ ЗДРАВООХРАНЕНИЯ НИЖЕГОРОДСКОЙ ОБЛАСТИ "БОРСКАЯ ЦЕНТРАЛЬНАЯ РАЙОННАЯ БОЛЬНИЦА"</w:t>
            </w:r>
            <w:r>
              <w:rPr>
                <w:rFonts w:eastAsia="Times New Roman"/>
                <w:sz w:val="22"/>
                <w:szCs w:val="22"/>
              </w:rPr>
            </w:r>
          </w:p>
        </w:tc>
      </w:tr>
    </w:tbl>
    <w:p>
      <w:pPr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Идентификационный код закупки: 242524600679552460100100680014339243. </w:t>
      </w:r>
      <w:r>
        <w:rPr>
          <w:rFonts w:eastAsia="Times New Roman"/>
          <w:lang w:eastAsia="ru-RU"/>
        </w:rPr>
      </w:r>
    </w:p>
    <w:p>
      <w:pPr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Извещение об осуществлении закупки размещено 19.07.2024 15:33 (MSK+00:00) на сайте Еди</w:t>
      </w:r>
      <w:bookmarkStart w:id="0" w:name="_GoBack"/>
      <w:r/>
      <w:bookmarkEnd w:id="0"/>
      <w:r>
        <w:rPr>
          <w:rFonts w:eastAsia="Times New Roman"/>
          <w:lang w:eastAsia="ru-RU"/>
        </w:rPr>
        <w:t xml:space="preserve">ной информационной системы в сфере закупок (ЕИС) по адресу в сети «Интернет»: http://zakupki.gov.ru и на сайте электронной торговой площадки «Фабрикант» по адресу в сети «Интернет»: http://www.etp-ets.ru.</w:t>
      </w:r>
      <w:r>
        <w:rPr>
          <w:rFonts w:eastAsia="Times New Roman"/>
          <w:lang w:eastAsia="ru-RU"/>
        </w:rPr>
      </w:r>
    </w:p>
    <w:p>
      <w:pPr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Наименование объекта закупки: Капитальный ремонт помещений РСЦ ГБУЗ НО «Борская ЦРБ» (этап 1), расположенного по адресу: г.о.г. Бор, ул. Бабушкина, д.8.</w:t>
      </w:r>
      <w:r>
        <w:rPr>
          <w:rFonts w:eastAsia="Times New Roman"/>
          <w:lang w:eastAsia="ru-RU"/>
        </w:rPr>
      </w:r>
    </w:p>
    <w:p>
      <w:pPr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Начальная (максимальная) цена контракта, руб.: 17 377 520.00</w:t>
      </w:r>
      <w:r>
        <w:rPr>
          <w:rFonts w:eastAsia="Times New Roman"/>
          <w:lang w:eastAsia="ru-RU"/>
        </w:rPr>
      </w:r>
    </w:p>
    <w:p>
      <w:pPr>
        <w:widowControl w:val="false"/>
        <w:pBdr/>
        <w:spacing w:after="0" w:before="60" w:line="240" w:lineRule="auto"/>
        <w:ind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/>
      </w:r>
      <w:r>
        <w:rPr>
          <w:rFonts w:eastAsia="Times New Roman"/>
          <w:lang w:eastAsia="ru-RU"/>
        </w:rPr>
      </w:r>
    </w:p>
    <w:p>
      <w:pPr>
        <w:keepNext w:val="true"/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Состав комиссии по осуществлению закупок:</w:t>
      </w:r>
      <w:r>
        <w:rPr>
          <w:rFonts w:eastAsia="Times New Roman"/>
          <w:lang w:eastAsia="ru-RU"/>
        </w:rPr>
      </w:r>
    </w:p>
    <w:tbl>
      <w:tblPr>
        <w:tblW w:w="1020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36"/>
        <w:gridCol w:w="2964"/>
        <w:gridCol w:w="1770"/>
      </w:tblGrid>
      <w:tr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Роль</w:t>
            </w:r>
            <w:r>
              <w:rPr>
                <w:rFonts w:eastAsia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6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Должность</w:t>
            </w:r>
            <w:r>
              <w:rPr>
                <w:rFonts w:eastAsia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Фамилия, имя, отчество</w:t>
            </w:r>
            <w:r>
              <w:rPr>
                <w:rFonts w:eastAsia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Статус</w:t>
            </w:r>
            <w:r>
              <w:rPr>
                <w:rFonts w:eastAsia="Times New Roman"/>
                <w:b/>
                <w:lang w:eastAsia="ru-RU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Председатель комиссии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6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/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Пуреховский Александр Владиславович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Присутствует</w:t>
            </w:r>
            <w:r>
              <w:rPr>
                <w:rFonts w:eastAsia="Times New Roman"/>
                <w:lang w:eastAsia="ru-RU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Зам. председателя комиссии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6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/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Артюшкина Марина Николаевна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Отсутствует</w:t>
            </w:r>
            <w:r>
              <w:rPr>
                <w:rFonts w:eastAsia="Times New Roman"/>
                <w:lang w:eastAsia="ru-RU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Член комиссии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6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/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Ведерникова Татьяна Олеговна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Присутствует</w:t>
            </w:r>
            <w:r>
              <w:rPr>
                <w:rFonts w:eastAsia="Times New Roman"/>
                <w:lang w:eastAsia="ru-RU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Секретарь комиссии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6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/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Лесникова Маргарита Владимировна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Присутствует</w:t>
            </w:r>
            <w:r>
              <w:rPr>
                <w:rFonts w:eastAsia="Times New Roman"/>
                <w:lang w:eastAsia="ru-RU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Секретарь комиссии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6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/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Лухмаева Наталья Викторовна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Отсутствует</w:t>
            </w:r>
            <w:r>
              <w:rPr>
                <w:rFonts w:eastAsia="Times New Roman"/>
                <w:lang w:eastAsia="ru-RU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Секретарь комиссии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6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/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Черепанова Алёна Николаевна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after="0" w:before="60" w:line="240" w:lineRule="auto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Отсутствует</w:t>
            </w:r>
            <w:r>
              <w:rPr>
                <w:rFonts w:eastAsia="Times New Roman"/>
                <w:lang w:eastAsia="ru-RU"/>
              </w:rPr>
            </w:r>
          </w:p>
        </w:tc>
      </w:tr>
    </w:tbl>
    <w:p>
      <w:pPr>
        <w:widowControl w:val="false"/>
        <w:pBdr/>
        <w:spacing w:after="0" w:before="60" w:line="240" w:lineRule="auto"/>
        <w:ind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Количество членов комиссии, присутствующих на заседании: 3. Кворум имеется. Комиссия правомочна.</w:t>
      </w:r>
      <w:r>
        <w:rPr>
          <w:rFonts w:eastAsia="Times New Roman"/>
          <w:lang w:eastAsia="ru-RU"/>
        </w:rPr>
      </w:r>
    </w:p>
    <w:p>
      <w:pPr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Комиссия рассмотрела информацию и документы, направленные в соответствии с п.4 ч.4 ст.49 Федерального закона №44-ФЗ, и приняла следующее решение:</w:t>
      </w:r>
      <w:r>
        <w:rPr>
          <w:rFonts w:eastAsia="Times New Roman"/>
          <w:lang w:eastAsia="ru-RU"/>
        </w:rPr>
      </w:r>
    </w:p>
    <w:tbl>
      <w:tblPr>
        <w:tblStyle w:val="847"/>
        <w:tblW w:w="10206" w:type="dxa"/>
        <w:tblInd w:w="-5" w:type="dxa"/>
        <w:tblBorders/>
        <w:tblLayout w:type="fixed"/>
        <w:tblLook w:val="04A0" w:firstRow="1" w:lastRow="0" w:firstColumn="1" w:lastColumn="0" w:noHBand="0" w:noVBand="1"/>
      </w:tblPr>
      <w:tblGrid>
        <w:gridCol w:w="1293"/>
        <w:gridCol w:w="1360"/>
        <w:gridCol w:w="1387"/>
        <w:gridCol w:w="2375"/>
        <w:gridCol w:w="1511"/>
        <w:gridCol w:w="1140"/>
        <w:gridCol w:w="1140"/>
      </w:tblGrid>
      <w:tr>
        <w:trPr>
          <w:trHeight w:val="8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dxa"/>
            <w:vAlign w:val="center"/>
            <w:textDirection w:val="lrTb"/>
            <w:noWrap w:val="false"/>
          </w:tcPr>
          <w:p>
            <w:pPr>
              <w:pBdr/>
              <w:spacing w:before="60"/>
              <w:ind w:left="-108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Порядковый номер заявки, присвоенный оператором</w:t>
            </w:r>
            <w:r>
              <w:rPr>
                <w:rFonts w:eastAsia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" w:type="dxa"/>
            <w:vAlign w:val="center"/>
            <w:textDirection w:val="lrTb"/>
            <w:noWrap w:val="false"/>
          </w:tcPr>
          <w:p>
            <w:pPr>
              <w:pBdr/>
              <w:spacing w:before="60"/>
              <w:ind w:right="-43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Идентификационный номер заявки, присвоенный оператором,</w:t>
            </w:r>
            <w:r>
              <w:rPr>
                <w:rFonts w:eastAsia="Times New Roman"/>
                <w:b/>
                <w:bCs/>
                <w:sz w:val="22"/>
                <w:szCs w:val="22"/>
              </w:rPr>
            </w:r>
          </w:p>
          <w:p>
            <w:pPr>
              <w:pBdr/>
              <w:spacing w:before="60"/>
              <w:ind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дата и время регистрации</w:t>
            </w:r>
            <w:r>
              <w:rPr>
                <w:rFonts w:eastAsia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Решение о соответствии или об отклонении заявки</w:t>
            </w:r>
            <w:r>
              <w:rPr>
                <w:rFonts w:eastAsia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</w:r>
            <w:r>
              <w:rPr>
                <w:rFonts w:eastAsia="Times New Roman"/>
                <w:b/>
                <w:sz w:val="22"/>
                <w:szCs w:val="22"/>
              </w:rPr>
            </w:r>
          </w:p>
          <w:p>
            <w:pPr>
              <w:pBdr/>
              <w:spacing/>
              <w:ind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Обоснование решения об отклонении заявки</w:t>
            </w:r>
            <w:r>
              <w:rPr>
                <w:rFonts w:eastAsia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</w:r>
            <w:r>
              <w:rPr>
                <w:rFonts w:eastAsia="Times New Roman"/>
                <w:b/>
                <w:sz w:val="22"/>
                <w:szCs w:val="22"/>
              </w:rPr>
            </w:r>
          </w:p>
          <w:p>
            <w:pPr>
              <w:pBdr/>
              <w:spacing/>
              <w:ind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Предложение о цене, руб.</w:t>
            </w:r>
            <w:r>
              <w:rPr>
                <w:rFonts w:eastAsia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</w:r>
            <w:r>
              <w:rPr>
                <w:rFonts w:eastAsia="Times New Roman"/>
                <w:b/>
                <w:sz w:val="22"/>
                <w:szCs w:val="22"/>
              </w:rPr>
            </w:r>
          </w:p>
          <w:p>
            <w:pPr>
              <w:pBdr/>
              <w:spacing/>
              <w:ind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Снижение цены, %</w:t>
            </w:r>
            <w:r>
              <w:rPr>
                <w:rFonts w:eastAsia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</w:rPr>
              <w:t xml:space="preserve">Порядковый номер заявки, присвоенный комиссией по осуществлению закупок</w:t>
            </w:r>
            <w:r>
              <w:rPr>
                <w:rFonts w:eastAsia="Times New Roman"/>
                <w:b/>
                <w:sz w:val="22"/>
                <w:szCs w:val="22"/>
              </w:rPr>
            </w:r>
          </w:p>
        </w:tc>
      </w:tr>
      <w:tr>
        <w:trPr>
          <w:trHeight w:val="50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</w:t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29.07.2024 14:13:59 (MSK+00:00)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Соответствует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/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15 118 442.40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- 13.00 %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50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</w:t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26.07.2024 17:40:19 (MSK+00:00)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Соответствует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/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15 205 330.00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Bdr/>
              <w:spacing w:before="60"/>
              <w:ind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- 12.50 %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</w:tr>
    </w:tbl>
    <w:p>
      <w:pPr>
        <w:keepNext w:val="true"/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Сведения о решении каждого члена комиссии по осуществлению закупок в отношении каждой заявки на участие в закупке:</w:t>
      </w:r>
      <w:r>
        <w:rPr>
          <w:rFonts w:eastAsia="Times New Roman"/>
          <w:lang w:eastAsia="ru-RU"/>
        </w:rPr>
      </w:r>
    </w:p>
    <w:tbl>
      <w:tblGrid>
        <w:gridCol w:w="150" w:type="dxa"/>
        <w:gridCol w:w="150" w:type="dxa"/>
      </w:tblGrid>
      <w:tblPr>
        <w:tblW w:w="5000" w:type="pct"/>
        <w:tblLayout w:type="autofit"/>
        <w:bidiVisual w:val="0"/>
        <w:tblCellMar>
          <w:top w:w="0" w:type="dxa"/>
          <w:left w:w="0" w:type="dxa"/>
          <w:right w:w="0" w:type="dxa"/>
          <w:bottom w:w="0" w:type="dxa"/>
        </w:tblCellMar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150" w:type="dxa"/>
            <w:vAlign w:val="top"/>
            <w:vMerge w:val="restart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Фамилия, имя, отчество</w:t>
            </w:r>
          </w:p>
        </w:tc>
        <w:tc>
          <w:tcPr>
            <w:tcW w:w="150" w:type="dxa"/>
            <w:vAlign w:val="top"/>
            <w:vMerge w:val="restart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о соответствии или об отклонении заявки на участие в закупке</w:t>
            </w:r>
          </w:p>
        </w:tc>
      </w:tr>
      <w:tr>
        <w:trPr/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Идентификационный номер заявки: 2</w:t>
            </w:r>
          </w:p>
        </w:tc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/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Пуреховский Александр Владиславович</w:t>
            </w:r>
          </w:p>
        </w:tc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Соответствует</w:t>
            </w:r>
          </w:p>
        </w:tc>
      </w:tr>
      <w:tr>
        <w:trPr/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Ведерникова Татьяна Олеговна</w:t>
            </w:r>
          </w:p>
        </w:tc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Соответствует</w:t>
            </w:r>
          </w:p>
        </w:tc>
      </w:tr>
      <w:tr>
        <w:trPr/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Лесникова Маргарита Владимировна</w:t>
            </w:r>
          </w:p>
        </w:tc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Соответствует</w:t>
            </w:r>
          </w:p>
        </w:tc>
      </w:tr>
      <w:tr>
        <w:trPr/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Идентификационный номер заявки: 1</w:t>
            </w:r>
          </w:p>
        </w:tc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/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Пуреховский Александр Владиславович</w:t>
            </w:r>
          </w:p>
        </w:tc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Соответствует</w:t>
            </w:r>
          </w:p>
        </w:tc>
      </w:tr>
      <w:tr>
        <w:trPr/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Ведерникова Татьяна Олеговна</w:t>
            </w:r>
          </w:p>
        </w:tc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Соответствует</w:t>
            </w:r>
          </w:p>
        </w:tc>
      </w:tr>
      <w:tr>
        <w:trPr/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Лесникова Маргарита Владимировна</w:t>
            </w:r>
          </w:p>
        </w:tc>
        <w:tc>
          <w:tcPr>
            <w:tcW w:w="150" w:type="dxa"/>
            <w:vAlign w:val="center"/>
          </w:tcPr>
          <w:p>
            <w:pPr>
              <w:jc w:val="left"/>
            </w:pPr>
            <w:r>
              <w:rPr/>
              <w:t xml:space="preserve">Соответствует</w:t>
            </w:r>
          </w:p>
        </w:tc>
      </w:tr>
    </w:tbl>
    <w:p>
      <w:pPr>
        <w:keepNext w:val="true"/>
        <w:widowControl w:val="false"/>
        <w:numPr>
          <w:ilvl w:val="0"/>
          <w:numId w:val="8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На основании информации, содержащейся в протоколе подачи ценовых предложений, а также результатов рассмотрения заявок, комиссия присвоила порядковые номера заявкам, </w:t>
      </w:r>
      <w:r>
        <w:rPr>
          <w:rFonts w:eastAsia="Times New Roman"/>
          <w:lang w:eastAsia="ru-RU"/>
        </w:rPr>
        <w:t xml:space="preserve">признанным соответствующими извещению об осуществлении закупки:</w:t>
      </w:r>
      <w:r>
        <w:rPr>
          <w:rFonts w:eastAsia="Times New Roman"/>
          <w:lang w:eastAsia="ru-RU"/>
        </w:rPr>
      </w:r>
    </w:p>
    <w:tbl>
      <w:tblPr>
        <w:tblW w:w="10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522"/>
        <w:gridCol w:w="1734"/>
        <w:gridCol w:w="3827"/>
        <w:gridCol w:w="3118"/>
      </w:tblGrid>
      <w:tr>
        <w:trPr>
          <w:trHeight w:val="7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pBdr/>
              <w:spacing w:after="0" w:before="60" w:line="240" w:lineRule="auto"/>
              <w:ind w:left="-113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bCs/>
              </w:rPr>
              <w:t xml:space="preserve">Порядковый номер заявки, присвоенный оператором</w:t>
            </w:r>
            <w:r>
              <w:rPr>
                <w:rFonts w:eastAsia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 w:after="0" w:before="60" w:line="240" w:lineRule="auto"/>
              <w:ind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Идентификационный номер заявки, </w:t>
            </w:r>
            <w:r>
              <w:rPr>
                <w:rFonts w:eastAsia="Times New Roman"/>
                <w:b/>
                <w:bCs/>
              </w:rPr>
              <w:t xml:space="preserve">присвоенный оператором</w:t>
            </w:r>
            <w:r>
              <w:rPr>
                <w:rFonts w:eastAsia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31" w:type="dxa"/>
            <w:vAlign w:val="center"/>
            <w:textDirection w:val="lrTb"/>
            <w:noWrap w:val="false"/>
          </w:tcPr>
          <w:p>
            <w:pPr>
              <w:pBdr/>
              <w:spacing w:after="0" w:before="60" w:line="240" w:lineRule="auto"/>
              <w:ind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Порядковый номер заявки, присвоенный комиссией по осуществлению закупок</w:t>
            </w:r>
            <w:r>
              <w:rPr>
                <w:rFonts w:eastAsia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8" w:type="dxa"/>
            <w:vAlign w:val="center"/>
            <w:textDirection w:val="lrTb"/>
            <w:noWrap w:val="false"/>
          </w:tcPr>
          <w:p>
            <w:pPr>
              <w:pBdr/>
              <w:spacing w:after="0" w:before="60" w:line="240" w:lineRule="auto"/>
              <w:ind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Предложение о цене, руб.</w:t>
            </w:r>
            <w:r>
              <w:rPr>
                <w:rFonts w:eastAsia="Times New Roman"/>
                <w:b/>
                <w:lang w:eastAsia="ru-RU"/>
              </w:rPr>
            </w:r>
          </w:p>
        </w:tc>
      </w:tr>
      <w:tr>
        <w:trPr>
          <w:trHeight w:val="72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</w:rPr>
              <w:t xml:space="preserve">1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31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lang w:eastAsia="ru-RU"/>
              </w:rPr>
            </w:pPr>
            <w:r>
              <w:rPr>
                <w:iCs/>
              </w:rPr>
              <w:t xml:space="preserve">1</w:t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8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iCs/>
                <w:lang w:eastAsia="ru-RU"/>
              </w:rPr>
              <w:t xml:space="preserve">15 118 442.40</w:t>
            </w:r>
            <w:r>
              <w:rPr>
                <w:rFonts w:eastAsia="Times New Roman"/>
                <w:lang w:eastAsia="ru-RU"/>
              </w:rPr>
            </w:r>
          </w:p>
        </w:tc>
      </w:tr>
      <w:tr>
        <w:trPr>
          <w:trHeight w:val="72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6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</w:rPr>
              <w:t xml:space="preserve">1</w:t>
            </w:r>
            <w:r>
              <w:rPr>
                <w:rFonts w:eastAsia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31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lang w:eastAsia="ru-RU"/>
              </w:rPr>
            </w:pPr>
            <w:r>
              <w:rPr>
                <w:iCs/>
              </w:rPr>
              <w:t xml:space="preserve">2</w:t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8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eastAsia="Times New Roman"/>
                <w:lang w:eastAsia="ru-RU"/>
              </w:rPr>
            </w:pPr>
            <w:r>
              <w:rPr>
                <w:iCs/>
                <w:lang w:eastAsia="ru-RU"/>
              </w:rPr>
              <w:t xml:space="preserve">15 205 330.00</w:t>
            </w:r>
            <w:r>
              <w:rPr>
                <w:rFonts w:eastAsia="Times New Roman"/>
                <w:lang w:eastAsia="ru-RU"/>
              </w:rPr>
            </w:r>
          </w:p>
        </w:tc>
      </w:tr>
    </w:tbl>
    <w:p>
      <w:pPr>
        <w:pStyle w:val="848"/>
        <w:keepNext w:val="true"/>
        <w:widowControl w:val="false"/>
        <w:numPr>
          <w:ilvl w:val="0"/>
          <w:numId w:val="2"/>
        </w:numPr>
        <w:pBdr/>
        <w:spacing w:after="0" w:before="60" w:line="240" w:lineRule="auto"/>
        <w:ind w:hanging="284" w:left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На основании п.2 ч.5 ст.49 Федерального закона № 44-ФЗ настоящий протокол подведения итогов </w:t>
      </w:r>
      <w:r>
        <w:rPr>
          <w:rFonts w:eastAsia="Times New Roman"/>
          <w:lang w:eastAsia="ru-RU"/>
        </w:rPr>
        <w:t xml:space="preserve">определения поставщика (подрядчика, исполнителя) </w:t>
      </w:r>
      <w:r>
        <w:rPr>
          <w:rFonts w:eastAsia="Times New Roman"/>
          <w:lang w:eastAsia="ru-RU"/>
        </w:rPr>
        <w:t xml:space="preserve">сформи</w:t>
      </w:r>
      <w:r>
        <w:rPr>
          <w:rFonts w:eastAsia="Times New Roman"/>
          <w:lang w:eastAsia="ru-RU"/>
        </w:rPr>
        <w:t xml:space="preserve">рован заказчиком с использованием электронной площадки,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</w:t>
      </w:r>
      <w:r>
        <w:rPr>
          <w:rFonts w:eastAsia="Times New Roman"/>
          <w:lang w:eastAsia="ru-RU"/>
        </w:rPr>
        <w:t xml:space="preserve">онной площадки. Протокол будет размещен на сайте электронной торговой площадки «Фабрикант» по адресу в сети «Интернет»: http://www.etp-ets.ru и на сайте Единой информационной системы в сфере закупок (ЕИС) по адресу в сети «Интернет»: http://zakupki.gov.ru.</w:t>
      </w:r>
      <w:r>
        <w:rPr>
          <w:rFonts w:eastAsia="Times New Roman"/>
          <w:lang w:eastAsia="ru-RU"/>
        </w:rPr>
      </w:r>
    </w:p>
    <w:p/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8"/>
          <w:szCs w:val="28"/>
          <w:b w:val="1"/>
          <w:bCs w:val="1"/>
        </w:rPr>
        <w:t xml:space="preserve">Протокол подписан следующими электронными подписями: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Организация: ГОСУДАРСТВЕННОЕ БЮДЖЕТНОЕ УЧРЕЖДЕНИЕ ЗДРАВООХРАНЕНИЯ НИЖЕГОРОДСКОЙ ОБЛАСТИ "БОРСКАЯ ЦЕНТРАЛЬНАЯ РАЙОННАЯ БОЛЬНИЦА"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Владелец сертификата: Пуреховский Александр Владиславович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Сертификат: A4:D7:0A:04:A7:FC:C6:07:EA:90:C4:BE:A0:6C:55:48, действителен с 10.11.2023 12:09:00 по 02.02.2025 12:09:00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Дата подписания: 31.07.2024 11:26:49 МСК</w:t>
      </w:r>
    </w:p>
    <w:p>
      <w:pPr>
        <w:keepNext w:val="true"/>
        <w:keepLines/>
        <w:pBdr>
          <w:bottom w:val="single" w:sz="6" w:space="1" w:color="000000"/>
        </w:pBdr>
        <w:spacing w:before="0" w:after="480"/>
        <w:rPr/>
      </w:pPr>
      <w:r>
        <w:rPr/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Организация: ГОСУДАРСТВЕННОЕ БЮДЖЕТНОЕ УЧРЕЖДЕНИЕ ЗДРАВООХРАНЕНИЯ НИЖЕГОРОДСКОЙ ОБЛАСТИ "БОРСКАЯ ЦЕНТРАЛЬНАЯ РАЙОННАЯ БОЛЬНИЦА"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Владелец сертификата: Ведерникова Татьяна Олеговна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Сертификат: 75:98:10:74:ED:DE:48:D2:73:61:69:F2:DE:36:3E:1E, действителен с 18.07.2024 08:39:15 по 11.10.2025 08:39:15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Дата подписания: 31.07.2024 11:27:12 МСК</w:t>
      </w:r>
    </w:p>
    <w:p>
      <w:pPr>
        <w:keepNext w:val="true"/>
        <w:keepLines/>
        <w:pBdr>
          <w:bottom w:val="single" w:sz="6" w:space="1" w:color="000000"/>
        </w:pBdr>
        <w:spacing w:before="0" w:after="480"/>
        <w:rPr/>
      </w:pPr>
      <w:r>
        <w:rPr/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Организация: ГОСУДАРСТВЕННОЕ КАЗЕННОЕ УЧРЕЖДЕНИЕ НИЖЕГОРОДСКОЙ ОБЛАСТИ "ЦЕНТР РАЗМЕЩЕНИЯ ЗАКАЗА НИЖЕГОРОДСКОЙ ОБЛАСТИ"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Владелец сертификата: Лесникова Маргарита Владимировна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Сертификат: 9B:D6:EB:5C:D2:15:65:AB:8C:2C:C6:F4:ED:7A:B1:58, действителен с 09.10.2023 08:03:00 по 01.01.2025 08:03:00</w:t>
      </w:r>
    </w:p>
    <w:p>
      <w:pPr>
        <w:keepNext w:val="1"/>
        <w:keepLines w:val="1"/>
        <w:spacing w:lineRule="auto" w:line="276" w:before="0" w:after="200"/>
      </w:pPr>
      <w:r>
        <w:rPr>
          <w:rFonts w:ascii="Calibri" w:hAnsi="Calibri" w:eastAsia="Calibri" w:cs="Calibri"/>
          <w:color w:val="4D95C4"/>
          <w:sz w:val="24"/>
          <w:szCs w:val="24"/>
        </w:rPr>
        <w:t xml:space="preserve">Дата подписания: 31.07.2024 11:30:08 МСК</w:t>
      </w:r>
    </w:p>
    <w:sectPr>
      <w:footnotePr/>
      <w:endnotePr/>
      <w:type w:val="nextPage"/>
      <w:pgSz w:h="16838" w:orient="portrait" w:w="11906"/>
      <w:pgMar w:top="709" w:right="850" w:bottom="709" w:left="85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  <w:i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  <w:i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/>
      <w:numFmt w:val="none"/>
      <w:pPr>
        <w:pBdr/>
        <w:tabs>
          <w:tab w:val="num" w:leader="none" w:pos="360"/>
        </w:tabs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  <w:i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  <w:i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  <w:i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7"/>
    <w:link w:val="66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7"/>
    <w:link w:val="669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18">
    <w:name w:val="Heading 3 Char"/>
    <w:basedOn w:val="677"/>
    <w:link w:val="67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7"/>
    <w:link w:val="67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7"/>
    <w:link w:val="67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77"/>
    <w:link w:val="67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77"/>
    <w:link w:val="67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77"/>
    <w:link w:val="67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77"/>
    <w:link w:val="67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7"/>
    <w:link w:val="690"/>
    <w:uiPriority w:val="10"/>
    <w:pPr>
      <w:pBdr/>
      <w:spacing/>
      <w:ind/>
    </w:pPr>
    <w:rPr>
      <w:sz w:val="48"/>
      <w:szCs w:val="48"/>
    </w:rPr>
  </w:style>
  <w:style w:type="character" w:styleId="37">
    <w:name w:val="Subtitle Char"/>
    <w:basedOn w:val="677"/>
    <w:link w:val="692"/>
    <w:uiPriority w:val="11"/>
    <w:pPr>
      <w:pBdr/>
      <w:spacing/>
      <w:ind/>
    </w:pPr>
    <w:rPr>
      <w:sz w:val="24"/>
      <w:szCs w:val="24"/>
    </w:rPr>
  </w:style>
  <w:style w:type="character" w:styleId="39">
    <w:name w:val="Quote Char"/>
    <w:link w:val="694"/>
    <w:uiPriority w:val="29"/>
    <w:pPr>
      <w:pBdr/>
      <w:spacing/>
      <w:ind/>
    </w:pPr>
    <w:rPr>
      <w:i/>
    </w:rPr>
  </w:style>
  <w:style w:type="character" w:styleId="41">
    <w:name w:val="Intense Quote Char"/>
    <w:link w:val="696"/>
    <w:uiPriority w:val="30"/>
    <w:pPr>
      <w:pBdr/>
      <w:spacing/>
      <w:ind/>
    </w:pPr>
    <w:rPr>
      <w:i/>
    </w:rPr>
  </w:style>
  <w:style w:type="character" w:styleId="43">
    <w:name w:val="Header Char"/>
    <w:basedOn w:val="677"/>
    <w:link w:val="698"/>
    <w:uiPriority w:val="99"/>
    <w:pPr>
      <w:pBdr/>
      <w:spacing/>
      <w:ind/>
    </w:pPr>
  </w:style>
  <w:style w:type="character" w:styleId="47">
    <w:name w:val="Caption Char"/>
    <w:basedOn w:val="702"/>
    <w:link w:val="700"/>
    <w:uiPriority w:val="99"/>
    <w:pPr>
      <w:pBdr/>
      <w:spacing/>
      <w:ind/>
    </w:pPr>
  </w:style>
  <w:style w:type="character" w:styleId="176">
    <w:name w:val="Footnote Text Char"/>
    <w:link w:val="829"/>
    <w:uiPriority w:val="99"/>
    <w:pPr>
      <w:pBdr/>
      <w:spacing/>
      <w:ind/>
    </w:pPr>
    <w:rPr>
      <w:sz w:val="18"/>
    </w:rPr>
  </w:style>
  <w:style w:type="character" w:styleId="179">
    <w:name w:val="Endnote Text Char"/>
    <w:link w:val="832"/>
    <w:uiPriority w:val="99"/>
    <w:pPr>
      <w:pBdr/>
      <w:spacing/>
      <w:ind/>
    </w:pPr>
    <w:rPr>
      <w:sz w:val="20"/>
    </w:rPr>
  </w:style>
  <w:style w:type="paragraph" w:styleId="667" w:default="1">
    <w:name w:val="Normal"/>
    <w:qFormat/>
    <w:pPr>
      <w:pBdr/>
      <w:spacing/>
      <w:ind/>
      <w:jc w:val="both"/>
    </w:pPr>
    <w:rPr>
      <w:rFonts w:ascii="Times New Roman" w:hAnsi="Times New Roman" w:eastAsia="Calibri" w:cs="Times New Roman"/>
    </w:rPr>
  </w:style>
  <w:style w:type="paragraph" w:styleId="668">
    <w:name w:val="Heading 1"/>
    <w:basedOn w:val="667"/>
    <w:next w:val="667"/>
    <w:link w:val="680"/>
    <w:uiPriority w:val="9"/>
    <w:qFormat/>
    <w:pPr>
      <w:keepNext w:val="true"/>
      <w:keepLines w:val="true"/>
      <w:pBdr/>
      <w:spacing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669">
    <w:name w:val="Heading 2"/>
    <w:basedOn w:val="667"/>
    <w:next w:val="667"/>
    <w:link w:val="681"/>
    <w:uiPriority w:val="9"/>
    <w:unhideWhenUsed/>
    <w:qFormat/>
    <w:pPr>
      <w:keepNext w:val="true"/>
      <w:keepLines w:val="true"/>
      <w:pBdr/>
      <w:spacing w:before="360"/>
      <w:ind/>
      <w:outlineLvl w:val="1"/>
    </w:pPr>
    <w:rPr>
      <w:rFonts w:ascii="Arial" w:hAnsi="Arial" w:eastAsia="Arial" w:cs="Arial"/>
      <w:sz w:val="34"/>
    </w:rPr>
  </w:style>
  <w:style w:type="paragraph" w:styleId="670">
    <w:name w:val="Heading 3"/>
    <w:basedOn w:val="667"/>
    <w:next w:val="667"/>
    <w:link w:val="682"/>
    <w:uiPriority w:val="9"/>
    <w:unhideWhenUsed/>
    <w:qFormat/>
    <w:pPr>
      <w:keepNext w:val="true"/>
      <w:keepLines w:val="true"/>
      <w:pBdr/>
      <w:spacing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671">
    <w:name w:val="Heading 4"/>
    <w:basedOn w:val="667"/>
    <w:next w:val="667"/>
    <w:link w:val="683"/>
    <w:uiPriority w:val="9"/>
    <w:unhideWhenUsed/>
    <w:qFormat/>
    <w:pPr>
      <w:keepNext w:val="true"/>
      <w:keepLines w:val="true"/>
      <w:pBdr/>
      <w:spacing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667"/>
    <w:next w:val="667"/>
    <w:link w:val="684"/>
    <w:uiPriority w:val="9"/>
    <w:unhideWhenUsed/>
    <w:qFormat/>
    <w:pPr>
      <w:keepNext w:val="true"/>
      <w:keepLines w:val="true"/>
      <w:pBdr/>
      <w:spacing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667"/>
    <w:next w:val="667"/>
    <w:link w:val="685"/>
    <w:uiPriority w:val="9"/>
    <w:unhideWhenUsed/>
    <w:qFormat/>
    <w:pPr>
      <w:keepNext w:val="true"/>
      <w:keepLines w:val="true"/>
      <w:pBdr/>
      <w:spacing w:before="320"/>
      <w:ind/>
      <w:outlineLvl w:val="5"/>
    </w:pPr>
    <w:rPr>
      <w:rFonts w:ascii="Arial" w:hAnsi="Arial" w:eastAsia="Arial" w:cs="Arial"/>
      <w:b/>
      <w:bCs/>
    </w:rPr>
  </w:style>
  <w:style w:type="paragraph" w:styleId="674">
    <w:name w:val="Heading 7"/>
    <w:basedOn w:val="667"/>
    <w:next w:val="667"/>
    <w:link w:val="686"/>
    <w:uiPriority w:val="9"/>
    <w:unhideWhenUsed/>
    <w:qFormat/>
    <w:pPr>
      <w:keepNext w:val="true"/>
      <w:keepLines w:val="true"/>
      <w:pBdr/>
      <w:spacing w:before="320"/>
      <w:ind/>
      <w:outlineLvl w:val="6"/>
    </w:pPr>
    <w:rPr>
      <w:rFonts w:ascii="Arial" w:hAnsi="Arial" w:eastAsia="Arial" w:cs="Arial"/>
      <w:b/>
      <w:bCs/>
      <w:i/>
      <w:iCs/>
    </w:rPr>
  </w:style>
  <w:style w:type="paragraph" w:styleId="675">
    <w:name w:val="Heading 8"/>
    <w:basedOn w:val="667"/>
    <w:next w:val="667"/>
    <w:link w:val="687"/>
    <w:uiPriority w:val="9"/>
    <w:unhideWhenUsed/>
    <w:qFormat/>
    <w:pPr>
      <w:keepNext w:val="true"/>
      <w:keepLines w:val="true"/>
      <w:pBdr/>
      <w:spacing w:before="320"/>
      <w:ind/>
      <w:outlineLvl w:val="7"/>
    </w:pPr>
    <w:rPr>
      <w:rFonts w:ascii="Arial" w:hAnsi="Arial" w:eastAsia="Arial" w:cs="Arial"/>
      <w:i/>
      <w:iCs/>
    </w:rPr>
  </w:style>
  <w:style w:type="paragraph" w:styleId="676">
    <w:name w:val="Heading 9"/>
    <w:basedOn w:val="667"/>
    <w:next w:val="667"/>
    <w:link w:val="688"/>
    <w:uiPriority w:val="9"/>
    <w:unhideWhenUsed/>
    <w:qFormat/>
    <w:pPr>
      <w:keepNext w:val="true"/>
      <w:keepLines w:val="true"/>
      <w:pBdr/>
      <w:spacing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 w:default="1">
    <w:name w:val="Default Paragraph Font"/>
    <w:uiPriority w:val="1"/>
    <w:semiHidden/>
    <w:unhideWhenUsed/>
    <w:pPr>
      <w:pBdr/>
      <w:spacing/>
      <w:ind/>
    </w:pPr>
  </w:style>
  <w:style w:type="table" w:styleId="67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79" w:default="1">
    <w:name w:val="No List"/>
    <w:uiPriority w:val="99"/>
    <w:semiHidden/>
    <w:unhideWhenUsed/>
    <w:pPr>
      <w:pBdr/>
      <w:spacing/>
      <w:ind/>
    </w:pPr>
  </w:style>
  <w:style w:type="character" w:styleId="680" w:customStyle="1">
    <w:name w:val="Заголовок 1 Знак"/>
    <w:basedOn w:val="677"/>
    <w:link w:val="66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681" w:customStyle="1">
    <w:name w:val="Заголовок 2 Знак"/>
    <w:basedOn w:val="677"/>
    <w:link w:val="669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682" w:customStyle="1">
    <w:name w:val="Заголовок 3 Знак"/>
    <w:basedOn w:val="677"/>
    <w:link w:val="67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683" w:customStyle="1">
    <w:name w:val="Заголовок 4 Знак"/>
    <w:basedOn w:val="677"/>
    <w:link w:val="67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684" w:customStyle="1">
    <w:name w:val="Заголовок 5 Знак"/>
    <w:basedOn w:val="677"/>
    <w:link w:val="67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685" w:customStyle="1">
    <w:name w:val="Заголовок 6 Знак"/>
    <w:basedOn w:val="677"/>
    <w:link w:val="67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Заголовок 7 Знак"/>
    <w:basedOn w:val="677"/>
    <w:link w:val="67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 w:customStyle="1">
    <w:name w:val="Заголовок 8 Знак"/>
    <w:basedOn w:val="677"/>
    <w:link w:val="67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688" w:customStyle="1">
    <w:name w:val="Заголовок 9 Знак"/>
    <w:basedOn w:val="677"/>
    <w:link w:val="67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89">
    <w:name w:val="No Spacing"/>
    <w:uiPriority w:val="1"/>
    <w:qFormat/>
    <w:pPr>
      <w:pBdr/>
      <w:spacing w:after="0" w:line="240" w:lineRule="auto"/>
      <w:ind/>
    </w:pPr>
  </w:style>
  <w:style w:type="paragraph" w:styleId="690">
    <w:name w:val="Title"/>
    <w:basedOn w:val="667"/>
    <w:next w:val="667"/>
    <w:link w:val="691"/>
    <w:uiPriority w:val="10"/>
    <w:qFormat/>
    <w:pPr>
      <w:pBdr/>
      <w:spacing w:before="300"/>
      <w:ind/>
      <w:contextualSpacing w:val="true"/>
    </w:pPr>
    <w:rPr>
      <w:sz w:val="48"/>
      <w:szCs w:val="48"/>
    </w:rPr>
  </w:style>
  <w:style w:type="character" w:styleId="691" w:customStyle="1">
    <w:name w:val="Название Знак"/>
    <w:basedOn w:val="677"/>
    <w:link w:val="690"/>
    <w:uiPriority w:val="10"/>
    <w:pPr>
      <w:pBdr/>
      <w:spacing/>
      <w:ind/>
    </w:pPr>
    <w:rPr>
      <w:sz w:val="48"/>
      <w:szCs w:val="48"/>
    </w:rPr>
  </w:style>
  <w:style w:type="paragraph" w:styleId="692">
    <w:name w:val="Subtitle"/>
    <w:basedOn w:val="667"/>
    <w:next w:val="667"/>
    <w:link w:val="693"/>
    <w:uiPriority w:val="11"/>
    <w:qFormat/>
    <w:pPr>
      <w:pBdr/>
      <w:spacing w:before="200"/>
      <w:ind/>
    </w:pPr>
    <w:rPr>
      <w:sz w:val="24"/>
      <w:szCs w:val="24"/>
    </w:rPr>
  </w:style>
  <w:style w:type="character" w:styleId="693" w:customStyle="1">
    <w:name w:val="Подзаголовок Знак"/>
    <w:basedOn w:val="677"/>
    <w:link w:val="692"/>
    <w:uiPriority w:val="11"/>
    <w:pPr>
      <w:pBdr/>
      <w:spacing/>
      <w:ind/>
    </w:pPr>
    <w:rPr>
      <w:sz w:val="24"/>
      <w:szCs w:val="24"/>
    </w:rPr>
  </w:style>
  <w:style w:type="paragraph" w:styleId="694">
    <w:name w:val="Quote"/>
    <w:basedOn w:val="667"/>
    <w:next w:val="667"/>
    <w:link w:val="695"/>
    <w:uiPriority w:val="29"/>
    <w:qFormat/>
    <w:pPr>
      <w:pBdr/>
      <w:spacing/>
      <w:ind w:right="720" w:left="720"/>
    </w:pPr>
    <w:rPr>
      <w:i/>
    </w:rPr>
  </w:style>
  <w:style w:type="character" w:styleId="695" w:customStyle="1">
    <w:name w:val="Цитата 2 Знак"/>
    <w:link w:val="694"/>
    <w:uiPriority w:val="29"/>
    <w:pPr>
      <w:pBdr/>
      <w:spacing/>
      <w:ind/>
    </w:pPr>
    <w:rPr>
      <w:i/>
    </w:rPr>
  </w:style>
  <w:style w:type="paragraph" w:styleId="696">
    <w:name w:val="Intense Quote"/>
    <w:basedOn w:val="667"/>
    <w:next w:val="667"/>
    <w:link w:val="69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697" w:customStyle="1">
    <w:name w:val="Выделенная цитата Знак"/>
    <w:link w:val="696"/>
    <w:uiPriority w:val="30"/>
    <w:pPr>
      <w:pBdr/>
      <w:spacing/>
      <w:ind/>
    </w:pPr>
    <w:rPr>
      <w:i/>
    </w:rPr>
  </w:style>
  <w:style w:type="paragraph" w:styleId="698">
    <w:name w:val="Header"/>
    <w:basedOn w:val="667"/>
    <w:link w:val="69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9" w:customStyle="1">
    <w:name w:val="Верхний колонтитул Знак"/>
    <w:basedOn w:val="677"/>
    <w:link w:val="698"/>
    <w:uiPriority w:val="99"/>
    <w:pPr>
      <w:pBdr/>
      <w:spacing/>
      <w:ind/>
    </w:pPr>
  </w:style>
  <w:style w:type="paragraph" w:styleId="700">
    <w:name w:val="Footer"/>
    <w:basedOn w:val="667"/>
    <w:link w:val="70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1" w:customStyle="1">
    <w:name w:val="Footer Char"/>
    <w:basedOn w:val="677"/>
    <w:uiPriority w:val="99"/>
    <w:pPr>
      <w:pBdr/>
      <w:spacing/>
      <w:ind/>
    </w:pPr>
  </w:style>
  <w:style w:type="paragraph" w:styleId="702">
    <w:name w:val="Caption"/>
    <w:basedOn w:val="667"/>
    <w:next w:val="667"/>
    <w:uiPriority w:val="35"/>
    <w:semiHidden/>
    <w:unhideWhenUsed/>
    <w:qFormat/>
    <w:pPr>
      <w:pBdr/>
      <w:spacing/>
      <w:ind/>
    </w:pPr>
    <w:rPr>
      <w:b/>
      <w:bCs/>
      <w:color w:val="4f81bd" w:themeColor="accent1"/>
      <w:sz w:val="18"/>
      <w:szCs w:val="18"/>
    </w:rPr>
  </w:style>
  <w:style w:type="character" w:styleId="703" w:customStyle="1">
    <w:name w:val="Нижний колонтитул Знак"/>
    <w:link w:val="700"/>
    <w:uiPriority w:val="99"/>
    <w:pPr>
      <w:pBdr/>
      <w:spacing/>
      <w:ind/>
    </w:pPr>
  </w:style>
  <w:style w:type="table" w:styleId="704" w:customStyle="1">
    <w:name w:val="Table Grid Light"/>
    <w:basedOn w:val="67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basedOn w:val="67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basedOn w:val="678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 w:customStyle="1">
    <w:name w:val="Grid Table 1 Light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 w:customStyle="1">
    <w:name w:val="Grid Table 1 Light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 w:customStyle="1">
    <w:name w:val="Grid Table 1 Light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 w:customStyle="1">
    <w:name w:val="Grid Table 1 Light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 w:customStyle="1">
    <w:name w:val="Grid Table 1 Light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 w:customStyle="1">
    <w:name w:val="Grid Table 1 Light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 w:customStyle="1">
    <w:name w:val="Grid Table 2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 w:customStyle="1">
    <w:name w:val="Grid Table 2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 w:customStyle="1">
    <w:name w:val="Grid Table 2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 w:customStyle="1">
    <w:name w:val="Grid Table 2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 w:customStyle="1">
    <w:name w:val="Grid Table 2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 w:customStyle="1">
    <w:name w:val="Grid Table 2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 w:customStyle="1">
    <w:name w:val="Grid Table 3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 w:customStyle="1">
    <w:name w:val="Grid Table 3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 w:customStyle="1">
    <w:name w:val="Grid Table 3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 w:customStyle="1">
    <w:name w:val="Grid Table 3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 w:customStyle="1">
    <w:name w:val="Grid Table 3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 w:customStyle="1">
    <w:name w:val="Grid Table 3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basedOn w:val="67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Grid Table 4 - Accent 1"/>
    <w:basedOn w:val="67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 w:customStyle="1">
    <w:name w:val="Grid Table 4 - Accent 2"/>
    <w:basedOn w:val="67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 w:customStyle="1">
    <w:name w:val="Grid Table 4 - Accent 3"/>
    <w:basedOn w:val="67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 w:customStyle="1">
    <w:name w:val="Grid Table 4 - Accent 4"/>
    <w:basedOn w:val="67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 w:customStyle="1">
    <w:name w:val="Grid Table 4 - Accent 5"/>
    <w:basedOn w:val="67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Grid Table 4 - Accent 6"/>
    <w:basedOn w:val="67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5 Dark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5 Dark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5 Dark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5 Dark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5 Dark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5 Dark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6 Colorful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6 Colorful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6 Colorful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6 Colorful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6 Colorful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6 Colorful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7 Colorful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7 Colorful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7 Colorful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7 Colorful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7 Colorful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7 Colorful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List Table 1 Light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List Table 1 Light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List Table 1 Light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List Table 1 Light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List Table 1 Light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List Table 1 Light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List Table 2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List Table 2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List Table 2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List Table 2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List Table 2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List Table 2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List Table 3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List Table 3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List Table 3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List Table 3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List Table 3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List Table 3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List Table 4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List Table 4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List Table 4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List Table 4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List Table 4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List Table 4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5 Dark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5 Dark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5 Dark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5 Dark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5 Dark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5 Dark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6 Colorful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6 Colorful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6 Colorful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6 Colorful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6 Colorful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6 Colorful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7 Colorful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7 Colorful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7 Colorful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7 Colorful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7 Colorful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7 Colorful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ned - Accent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ned - Accent 1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ned - Accent 2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ned - Accent 3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ned - Accent 4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ned - Accent 5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ned - Accent 6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Bordered &amp; Lined - Accent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Bordered &amp; Lined - Accent 1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Bordered &amp; Lined - Accent 2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Bordered &amp; Lined - Accent 3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Bordered &amp; Lined - Accent 4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Bordered &amp; Lined - Accent 5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Bordered &amp; Lined - Accent 6"/>
    <w:basedOn w:val="678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Bordered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Bordered - Accent 1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Bordered - Accent 2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Bordered - Accent 3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Bordered - Accent 4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Bordered - Accent 5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Bordered - Accent 6"/>
    <w:basedOn w:val="67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9">
    <w:name w:val="footnote text"/>
    <w:basedOn w:val="667"/>
    <w:link w:val="83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0" w:customStyle="1">
    <w:name w:val="Текст сноски Знак"/>
    <w:link w:val="829"/>
    <w:uiPriority w:val="99"/>
    <w:pPr>
      <w:pBdr/>
      <w:spacing/>
      <w:ind/>
    </w:pPr>
    <w:rPr>
      <w:sz w:val="18"/>
    </w:rPr>
  </w:style>
  <w:style w:type="character" w:styleId="831">
    <w:name w:val="footnote reference"/>
    <w:basedOn w:val="677"/>
    <w:uiPriority w:val="99"/>
    <w:unhideWhenUsed/>
    <w:pPr>
      <w:pBdr/>
      <w:spacing/>
      <w:ind/>
    </w:pPr>
    <w:rPr>
      <w:vertAlign w:val="superscript"/>
    </w:rPr>
  </w:style>
  <w:style w:type="paragraph" w:styleId="832">
    <w:name w:val="endnote text"/>
    <w:basedOn w:val="667"/>
    <w:link w:val="83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33" w:customStyle="1">
    <w:name w:val="Текст концевой сноски Знак"/>
    <w:link w:val="832"/>
    <w:uiPriority w:val="99"/>
    <w:pPr>
      <w:pBdr/>
      <w:spacing/>
      <w:ind/>
    </w:pPr>
    <w:rPr>
      <w:sz w:val="20"/>
    </w:rPr>
  </w:style>
  <w:style w:type="character" w:styleId="834">
    <w:name w:val="endnote reference"/>
    <w:basedOn w:val="677"/>
    <w:uiPriority w:val="99"/>
    <w:semiHidden/>
    <w:unhideWhenUsed/>
    <w:pPr>
      <w:pBdr/>
      <w:spacing/>
      <w:ind/>
    </w:pPr>
    <w:rPr>
      <w:vertAlign w:val="superscript"/>
    </w:rPr>
  </w:style>
  <w:style w:type="paragraph" w:styleId="835">
    <w:name w:val="toc 1"/>
    <w:basedOn w:val="667"/>
    <w:next w:val="667"/>
    <w:uiPriority w:val="39"/>
    <w:unhideWhenUsed/>
    <w:pPr>
      <w:pBdr/>
      <w:spacing w:after="57"/>
      <w:ind/>
    </w:pPr>
  </w:style>
  <w:style w:type="paragraph" w:styleId="836">
    <w:name w:val="toc 2"/>
    <w:basedOn w:val="667"/>
    <w:next w:val="667"/>
    <w:uiPriority w:val="39"/>
    <w:unhideWhenUsed/>
    <w:pPr>
      <w:pBdr/>
      <w:spacing w:after="57"/>
      <w:ind w:left="283"/>
    </w:pPr>
  </w:style>
  <w:style w:type="paragraph" w:styleId="837">
    <w:name w:val="toc 3"/>
    <w:basedOn w:val="667"/>
    <w:next w:val="667"/>
    <w:uiPriority w:val="39"/>
    <w:unhideWhenUsed/>
    <w:pPr>
      <w:pBdr/>
      <w:spacing w:after="57"/>
      <w:ind w:left="567"/>
    </w:pPr>
  </w:style>
  <w:style w:type="paragraph" w:styleId="838">
    <w:name w:val="toc 4"/>
    <w:basedOn w:val="667"/>
    <w:next w:val="667"/>
    <w:uiPriority w:val="39"/>
    <w:unhideWhenUsed/>
    <w:pPr>
      <w:pBdr/>
      <w:spacing w:after="57"/>
      <w:ind w:left="850"/>
    </w:pPr>
  </w:style>
  <w:style w:type="paragraph" w:styleId="839">
    <w:name w:val="toc 5"/>
    <w:basedOn w:val="667"/>
    <w:next w:val="667"/>
    <w:uiPriority w:val="39"/>
    <w:unhideWhenUsed/>
    <w:pPr>
      <w:pBdr/>
      <w:spacing w:after="57"/>
      <w:ind w:left="1134"/>
    </w:pPr>
  </w:style>
  <w:style w:type="paragraph" w:styleId="840">
    <w:name w:val="toc 6"/>
    <w:basedOn w:val="667"/>
    <w:next w:val="667"/>
    <w:uiPriority w:val="39"/>
    <w:unhideWhenUsed/>
    <w:pPr>
      <w:pBdr/>
      <w:spacing w:after="57"/>
      <w:ind w:left="1417"/>
    </w:pPr>
  </w:style>
  <w:style w:type="paragraph" w:styleId="841">
    <w:name w:val="toc 7"/>
    <w:basedOn w:val="667"/>
    <w:next w:val="667"/>
    <w:uiPriority w:val="39"/>
    <w:unhideWhenUsed/>
    <w:pPr>
      <w:pBdr/>
      <w:spacing w:after="57"/>
      <w:ind w:left="1701"/>
    </w:pPr>
  </w:style>
  <w:style w:type="paragraph" w:styleId="842">
    <w:name w:val="toc 8"/>
    <w:basedOn w:val="667"/>
    <w:next w:val="667"/>
    <w:uiPriority w:val="39"/>
    <w:unhideWhenUsed/>
    <w:pPr>
      <w:pBdr/>
      <w:spacing w:after="57"/>
      <w:ind w:left="1984"/>
    </w:pPr>
  </w:style>
  <w:style w:type="paragraph" w:styleId="843">
    <w:name w:val="toc 9"/>
    <w:basedOn w:val="667"/>
    <w:next w:val="667"/>
    <w:uiPriority w:val="39"/>
    <w:unhideWhenUsed/>
    <w:pPr>
      <w:pBdr/>
      <w:spacing w:after="57"/>
      <w:ind w:left="2268"/>
    </w:pPr>
  </w:style>
  <w:style w:type="paragraph" w:styleId="844">
    <w:name w:val="TOC Heading"/>
    <w:uiPriority w:val="39"/>
    <w:unhideWhenUsed/>
    <w:pPr>
      <w:pBdr/>
      <w:spacing/>
      <w:ind/>
    </w:pPr>
  </w:style>
  <w:style w:type="paragraph" w:styleId="845">
    <w:name w:val="table of figures"/>
    <w:basedOn w:val="667"/>
    <w:next w:val="667"/>
    <w:uiPriority w:val="99"/>
    <w:unhideWhenUsed/>
    <w:pPr>
      <w:pBdr/>
      <w:spacing w:after="0"/>
      <w:ind/>
    </w:pPr>
  </w:style>
  <w:style w:type="paragraph" w:styleId="846" w:customStyle="1">
    <w:name w:val="List Paragraph1"/>
    <w:basedOn w:val="667"/>
    <w:pPr>
      <w:pBdr/>
      <w:spacing/>
      <w:ind w:left="720"/>
    </w:pPr>
    <w:rPr>
      <w:rFonts w:eastAsia="Times New Roman" w:cs="Calibri"/>
    </w:rPr>
  </w:style>
  <w:style w:type="table" w:styleId="847">
    <w:name w:val="Table Grid"/>
    <w:basedOn w:val="678"/>
    <w:uiPriority w:val="59"/>
    <w:pPr>
      <w:pBdr/>
      <w:spacing w:after="0" w:line="240" w:lineRule="auto"/>
      <w:ind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List Paragraph"/>
    <w:basedOn w:val="667"/>
    <w:uiPriority w:val="34"/>
    <w:qFormat/>
    <w:pPr>
      <w:pBdr/>
      <w:spacing/>
      <w:ind w:left="720"/>
      <w:contextualSpacing w:val="true"/>
    </w:pPr>
  </w:style>
  <w:style w:type="character" w:styleId="849">
    <w:name w:val="Hyperlink"/>
    <w:basedOn w:val="677"/>
    <w:uiPriority w:val="99"/>
    <w:unhideWhenUsed/>
    <w:pPr>
      <w:pBdr/>
      <w:spacing/>
      <w:ind/>
    </w:pPr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1</cp:revision>
  <dcterms:created xsi:type="dcterms:W3CDTF">2023-05-10T07:47:00Z</dcterms:created>
  <dcterms:modified xsi:type="dcterms:W3CDTF">2024-06-06T13:12:40Z</dcterms:modified>
</cp:coreProperties>
</file>